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4483F" w14:textId="3E2FD3C4" w:rsidR="00EB24AC" w:rsidRPr="001C1D74" w:rsidRDefault="00E16B20" w:rsidP="004D58EC">
      <w:pPr>
        <w:jc w:val="center"/>
        <w:rPr>
          <w:rFonts w:ascii="Tahoma" w:hAnsi="Tahoma" w:cs="Tahoma"/>
          <w:b/>
          <w:bCs/>
        </w:rPr>
      </w:pPr>
      <w:r w:rsidRPr="001C1D74">
        <w:rPr>
          <w:rFonts w:ascii="Tahoma" w:hAnsi="Tahoma" w:cs="Tahoma"/>
          <w:b/>
          <w:bCs/>
        </w:rPr>
        <w:t>LA SECRETARIA</w:t>
      </w:r>
      <w:r w:rsidRPr="001C1D74">
        <w:rPr>
          <w:rFonts w:ascii="Tahoma" w:hAnsi="Tahoma" w:cs="Tahoma"/>
          <w:b/>
          <w:bCs/>
          <w:spacing w:val="-7"/>
        </w:rPr>
        <w:t xml:space="preserve"> </w:t>
      </w:r>
      <w:r w:rsidRPr="001C1D74">
        <w:rPr>
          <w:rFonts w:ascii="Tahoma" w:hAnsi="Tahoma" w:cs="Tahoma"/>
          <w:b/>
          <w:bCs/>
        </w:rPr>
        <w:t>DE</w:t>
      </w:r>
      <w:r w:rsidRPr="001C1D74">
        <w:rPr>
          <w:rFonts w:ascii="Tahoma" w:hAnsi="Tahoma" w:cs="Tahoma"/>
          <w:b/>
          <w:bCs/>
          <w:spacing w:val="-6"/>
        </w:rPr>
        <w:t xml:space="preserve"> </w:t>
      </w:r>
      <w:r w:rsidRPr="001C1D74">
        <w:rPr>
          <w:rFonts w:ascii="Tahoma" w:hAnsi="Tahoma" w:cs="Tahoma"/>
          <w:b/>
          <w:bCs/>
        </w:rPr>
        <w:t>PLANEACIÓN E INFRAESTRUCTURA DEL MUNICIPIO PUERTO BERRÍO - ANTIOQUIA</w:t>
      </w:r>
      <w:r w:rsidR="00D31E95" w:rsidRPr="001C1D74">
        <w:rPr>
          <w:rFonts w:ascii="Tahoma" w:hAnsi="Tahoma" w:cs="Tahoma"/>
          <w:b/>
          <w:bCs/>
        </w:rPr>
        <w:t>.</w:t>
      </w:r>
    </w:p>
    <w:p w14:paraId="37B459DA" w14:textId="77777777" w:rsidR="00EB24AC" w:rsidRPr="001C1D74" w:rsidRDefault="00EB24AC" w:rsidP="004D58EC">
      <w:pPr>
        <w:rPr>
          <w:rFonts w:ascii="Tahoma" w:hAnsi="Tahoma" w:cs="Tahoma"/>
          <w:b/>
        </w:rPr>
      </w:pPr>
    </w:p>
    <w:p w14:paraId="1CE7C62E" w14:textId="77777777" w:rsidR="00EB24AC" w:rsidRPr="001C1D74" w:rsidRDefault="00EB24AC" w:rsidP="004D58EC">
      <w:pPr>
        <w:jc w:val="center"/>
        <w:rPr>
          <w:rFonts w:ascii="Tahoma" w:hAnsi="Tahoma" w:cs="Tahoma"/>
          <w:b/>
        </w:rPr>
      </w:pPr>
    </w:p>
    <w:p w14:paraId="02AA9F37" w14:textId="77777777" w:rsidR="00EB24AC" w:rsidRPr="001C1D74" w:rsidRDefault="00000000" w:rsidP="004D58EC">
      <w:pPr>
        <w:jc w:val="center"/>
        <w:rPr>
          <w:rFonts w:ascii="Tahoma" w:hAnsi="Tahoma" w:cs="Tahoma"/>
          <w:bCs/>
        </w:rPr>
      </w:pPr>
      <w:r w:rsidRPr="001C1D74">
        <w:rPr>
          <w:rFonts w:ascii="Tahoma" w:hAnsi="Tahoma" w:cs="Tahoma"/>
          <w:bCs/>
          <w:spacing w:val="-2"/>
        </w:rPr>
        <w:t>CONSIDERANDO</w:t>
      </w:r>
    </w:p>
    <w:p w14:paraId="66AAC5EA" w14:textId="77777777" w:rsidR="00EB24AC" w:rsidRPr="001C1D74" w:rsidRDefault="00EB24AC" w:rsidP="004D58EC">
      <w:pPr>
        <w:rPr>
          <w:rFonts w:ascii="Tahoma" w:hAnsi="Tahoma" w:cs="Tahoma"/>
          <w:b/>
        </w:rPr>
      </w:pPr>
    </w:p>
    <w:p w14:paraId="4077800C" w14:textId="77777777" w:rsidR="00EB24AC" w:rsidRPr="001C1D74" w:rsidRDefault="00EB24AC" w:rsidP="004D58EC">
      <w:pPr>
        <w:rPr>
          <w:rFonts w:ascii="Tahoma" w:hAnsi="Tahoma" w:cs="Tahoma"/>
          <w:b/>
        </w:rPr>
      </w:pPr>
    </w:p>
    <w:p w14:paraId="70D4A16D" w14:textId="55FA917D" w:rsidR="00EB24AC" w:rsidRPr="001C1D74" w:rsidRDefault="00000000" w:rsidP="00E16B20">
      <w:pPr>
        <w:jc w:val="both"/>
        <w:rPr>
          <w:rFonts w:ascii="Tahoma" w:hAnsi="Tahoma" w:cs="Tahoma"/>
          <w:b/>
          <w:spacing w:val="-2"/>
        </w:rPr>
      </w:pPr>
      <w:r w:rsidRPr="001C1D74">
        <w:rPr>
          <w:rFonts w:ascii="Tahoma" w:hAnsi="Tahoma" w:cs="Tahoma"/>
          <w:bCs/>
          <w:spacing w:val="-2"/>
        </w:rPr>
        <w:t xml:space="preserve">Que, la empresa </w:t>
      </w:r>
      <w:r w:rsidRPr="001C1D74">
        <w:rPr>
          <w:rFonts w:ascii="Tahoma" w:hAnsi="Tahoma" w:cs="Tahoma"/>
          <w:b/>
          <w:spacing w:val="-2"/>
        </w:rPr>
        <w:t>SITES LATAM COLOMBIA SAS</w:t>
      </w:r>
      <w:r w:rsidRPr="001C1D74">
        <w:rPr>
          <w:rFonts w:ascii="Tahoma" w:hAnsi="Tahoma" w:cs="Tahoma"/>
          <w:bCs/>
          <w:spacing w:val="-2"/>
        </w:rPr>
        <w:t xml:space="preserve">., identificada con el </w:t>
      </w:r>
      <w:r w:rsidRPr="001C1D74">
        <w:rPr>
          <w:rFonts w:ascii="Tahoma" w:hAnsi="Tahoma" w:cs="Tahoma"/>
          <w:b/>
          <w:spacing w:val="-2"/>
        </w:rPr>
        <w:t>Nit. No 901645408-8</w:t>
      </w:r>
      <w:r w:rsidRPr="001C1D74">
        <w:rPr>
          <w:rFonts w:ascii="Tahoma" w:hAnsi="Tahoma" w:cs="Tahoma"/>
          <w:bCs/>
          <w:spacing w:val="-2"/>
        </w:rPr>
        <w:t xml:space="preserve">, presentó a este Municipio solicitud para la </w:t>
      </w:r>
      <w:r w:rsidR="00E16B20" w:rsidRPr="001C1D74">
        <w:rPr>
          <w:rFonts w:ascii="Tahoma" w:hAnsi="Tahoma" w:cs="Tahoma"/>
          <w:b/>
          <w:spacing w:val="-2"/>
        </w:rPr>
        <w:t>AUTORIZACIÓN DE INSTALACIÓN DE INFRAESTRUCTURA PARA ANTENA DE TELECOMUNICACIONES PROYECTO ANT PUERTO MURILLO.</w:t>
      </w:r>
      <w:r w:rsidRPr="001C1D74">
        <w:rPr>
          <w:rFonts w:ascii="Tahoma" w:hAnsi="Tahoma" w:cs="Tahoma"/>
          <w:b/>
          <w:spacing w:val="-2"/>
        </w:rPr>
        <w:t>,</w:t>
      </w:r>
      <w:r w:rsidRPr="001C1D74">
        <w:rPr>
          <w:rFonts w:ascii="Tahoma" w:hAnsi="Tahoma" w:cs="Tahoma"/>
          <w:bCs/>
          <w:spacing w:val="-2"/>
        </w:rPr>
        <w:t xml:space="preserve"> que comprenden la</w:t>
      </w:r>
      <w:r w:rsidR="00D31E95" w:rsidRPr="001C1D74">
        <w:rPr>
          <w:rFonts w:ascii="Tahoma" w:hAnsi="Tahoma" w:cs="Tahoma"/>
          <w:bCs/>
          <w:spacing w:val="-2"/>
        </w:rPr>
        <w:t xml:space="preserve"> </w:t>
      </w:r>
      <w:r w:rsidRPr="001C1D74">
        <w:rPr>
          <w:rFonts w:ascii="Tahoma" w:hAnsi="Tahoma" w:cs="Tahoma"/>
          <w:bCs/>
          <w:spacing w:val="-2"/>
        </w:rPr>
        <w:t xml:space="preserve">instalación de una torre </w:t>
      </w:r>
      <w:r w:rsidRPr="00F900E3">
        <w:rPr>
          <w:rFonts w:ascii="Tahoma" w:hAnsi="Tahoma" w:cs="Tahoma"/>
          <w:bCs/>
          <w:spacing w:val="-2"/>
        </w:rPr>
        <w:t xml:space="preserve">de </w:t>
      </w:r>
      <w:r w:rsidR="00E16B20" w:rsidRPr="00F900E3">
        <w:rPr>
          <w:rFonts w:ascii="Tahoma" w:hAnsi="Tahoma" w:cs="Tahoma"/>
          <w:bCs/>
          <w:spacing w:val="-2"/>
        </w:rPr>
        <w:t>45</w:t>
      </w:r>
      <w:r w:rsidRPr="00F900E3">
        <w:rPr>
          <w:rFonts w:ascii="Tahoma" w:hAnsi="Tahoma" w:cs="Tahoma"/>
          <w:bCs/>
          <w:spacing w:val="-2"/>
        </w:rPr>
        <w:t xml:space="preserve"> m</w:t>
      </w:r>
      <w:r w:rsidR="00E16B20" w:rsidRPr="00F900E3">
        <w:rPr>
          <w:rFonts w:ascii="Tahoma" w:hAnsi="Tahoma" w:cs="Tahoma"/>
          <w:bCs/>
          <w:spacing w:val="-2"/>
        </w:rPr>
        <w:t xml:space="preserve"> + 6 de pararrayos</w:t>
      </w:r>
      <w:r w:rsidRPr="00F900E3">
        <w:rPr>
          <w:rFonts w:ascii="Tahoma" w:hAnsi="Tahoma" w:cs="Tahoma"/>
          <w:bCs/>
          <w:spacing w:val="-2"/>
        </w:rPr>
        <w:t>, arriostrada,</w:t>
      </w:r>
      <w:r w:rsidRPr="001C1D74">
        <w:rPr>
          <w:rFonts w:ascii="Tahoma" w:hAnsi="Tahoma" w:cs="Tahoma"/>
          <w:bCs/>
          <w:spacing w:val="-2"/>
        </w:rPr>
        <w:t xml:space="preserve"> con un área en piso de </w:t>
      </w:r>
      <w:r w:rsidR="00F900E3" w:rsidRPr="00F900E3">
        <w:rPr>
          <w:rFonts w:ascii="Tahoma" w:hAnsi="Tahoma" w:cs="Tahoma"/>
          <w:bCs/>
          <w:spacing w:val="-2"/>
        </w:rPr>
        <w:t>36</w:t>
      </w:r>
      <w:r w:rsidRPr="00F900E3">
        <w:rPr>
          <w:rFonts w:ascii="Tahoma" w:hAnsi="Tahoma" w:cs="Tahoma"/>
          <w:bCs/>
          <w:spacing w:val="-2"/>
        </w:rPr>
        <w:t xml:space="preserve">m2 </w:t>
      </w:r>
      <w:r w:rsidR="00F900E3" w:rsidRPr="00F900E3">
        <w:rPr>
          <w:rFonts w:ascii="Tahoma" w:hAnsi="Tahoma" w:cs="Tahoma"/>
          <w:bCs/>
          <w:spacing w:val="-2"/>
        </w:rPr>
        <w:t>más</w:t>
      </w:r>
      <w:r w:rsidRPr="001C1D74">
        <w:rPr>
          <w:rFonts w:ascii="Tahoma" w:hAnsi="Tahoma" w:cs="Tahoma"/>
          <w:bCs/>
          <w:spacing w:val="-2"/>
        </w:rPr>
        <w:t xml:space="preserve"> riendas y equipos celulares necesarios para la transmisión de comunicación celular, equipo de respaldo para los casos de pérdidas o fallas en el fluido eléctrico, acometidas para la instalación de cables de fibra óptica y demás elementos para la instalación y funcionamiento de la Estación base, cerramiento de seguridad para la estación base; que será ubicada en el predio rural en las coordenadas</w:t>
      </w:r>
      <w:r w:rsidR="00D31E95" w:rsidRPr="001C1D74">
        <w:rPr>
          <w:rFonts w:ascii="Tahoma" w:hAnsi="Tahoma" w:cs="Tahoma"/>
          <w:bCs/>
          <w:spacing w:val="-2"/>
        </w:rPr>
        <w:t xml:space="preserve"> </w:t>
      </w:r>
      <w:r w:rsidRPr="001C1D74">
        <w:rPr>
          <w:rFonts w:ascii="Tahoma" w:hAnsi="Tahoma" w:cs="Tahoma"/>
          <w:bCs/>
          <w:spacing w:val="-2"/>
        </w:rPr>
        <w:t xml:space="preserve">(Latitud </w:t>
      </w:r>
      <w:r w:rsidR="00E16B20" w:rsidRPr="001C1D74">
        <w:rPr>
          <w:rFonts w:ascii="Tahoma" w:hAnsi="Tahoma" w:cs="Tahoma"/>
          <w:bCs/>
          <w:spacing w:val="-2"/>
        </w:rPr>
        <w:t>6°36’23”</w:t>
      </w:r>
      <w:r w:rsidRPr="001C1D74">
        <w:rPr>
          <w:rFonts w:ascii="Tahoma" w:hAnsi="Tahoma" w:cs="Tahoma"/>
          <w:bCs/>
          <w:spacing w:val="-2"/>
        </w:rPr>
        <w:t xml:space="preserve">N, Longitud </w:t>
      </w:r>
      <w:r w:rsidR="00E16B20" w:rsidRPr="001C1D74">
        <w:rPr>
          <w:rFonts w:ascii="Tahoma" w:hAnsi="Tahoma" w:cs="Tahoma"/>
          <w:bCs/>
          <w:spacing w:val="-2"/>
        </w:rPr>
        <w:t>-74°23’38”</w:t>
      </w:r>
      <w:r w:rsidRPr="001C1D74">
        <w:rPr>
          <w:rFonts w:ascii="Tahoma" w:hAnsi="Tahoma" w:cs="Tahoma"/>
          <w:bCs/>
          <w:spacing w:val="-2"/>
        </w:rPr>
        <w:t xml:space="preserve">W), ubicada en el Corregimiento de </w:t>
      </w:r>
      <w:r w:rsidR="00E16B20" w:rsidRPr="001C1D74">
        <w:rPr>
          <w:rFonts w:ascii="Tahoma" w:hAnsi="Tahoma" w:cs="Tahoma"/>
          <w:bCs/>
          <w:spacing w:val="-2"/>
        </w:rPr>
        <w:t>Puerto Murillo</w:t>
      </w:r>
      <w:r w:rsidRPr="001C1D74">
        <w:rPr>
          <w:rFonts w:ascii="Tahoma" w:hAnsi="Tahoma" w:cs="Tahoma"/>
          <w:bCs/>
          <w:spacing w:val="-2"/>
        </w:rPr>
        <w:t xml:space="preserve">, Municipio de </w:t>
      </w:r>
      <w:r w:rsidR="00E16B20" w:rsidRPr="001C1D74">
        <w:rPr>
          <w:rFonts w:ascii="Tahoma" w:hAnsi="Tahoma" w:cs="Tahoma"/>
          <w:bCs/>
          <w:spacing w:val="-2"/>
        </w:rPr>
        <w:t>Puerto Berrío</w:t>
      </w:r>
      <w:r w:rsidRPr="001C1D74">
        <w:rPr>
          <w:rFonts w:ascii="Tahoma" w:hAnsi="Tahoma" w:cs="Tahoma"/>
          <w:bCs/>
          <w:spacing w:val="-2"/>
        </w:rPr>
        <w:t xml:space="preserve"> – </w:t>
      </w:r>
      <w:r w:rsidR="00E16B20" w:rsidRPr="001C1D74">
        <w:rPr>
          <w:rFonts w:ascii="Tahoma" w:hAnsi="Tahoma" w:cs="Tahoma"/>
          <w:bCs/>
          <w:spacing w:val="-2"/>
        </w:rPr>
        <w:t>Antioquia</w:t>
      </w:r>
      <w:r w:rsidRPr="001C1D74">
        <w:rPr>
          <w:rFonts w:ascii="Tahoma" w:hAnsi="Tahoma" w:cs="Tahoma"/>
          <w:bCs/>
          <w:spacing w:val="-2"/>
        </w:rPr>
        <w:t>.</w:t>
      </w:r>
    </w:p>
    <w:p w14:paraId="42A86C17" w14:textId="77777777" w:rsidR="004D58EC" w:rsidRPr="001C1D74" w:rsidRDefault="004D58EC" w:rsidP="00E16B20">
      <w:pPr>
        <w:jc w:val="both"/>
        <w:rPr>
          <w:rFonts w:ascii="Tahoma" w:hAnsi="Tahoma" w:cs="Tahoma"/>
          <w:bCs/>
          <w:spacing w:val="-2"/>
        </w:rPr>
      </w:pPr>
    </w:p>
    <w:p w14:paraId="2841B6A1"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 xml:space="preserve">Que </w:t>
      </w:r>
      <w:r w:rsidRPr="001C1D74">
        <w:rPr>
          <w:rFonts w:ascii="Tahoma" w:hAnsi="Tahoma" w:cs="Tahoma"/>
          <w:b/>
          <w:spacing w:val="-2"/>
        </w:rPr>
        <w:t>SITES LATAM COLOMBIA SAS</w:t>
      </w:r>
      <w:r w:rsidRPr="001C1D74">
        <w:rPr>
          <w:rFonts w:ascii="Tahoma" w:hAnsi="Tahoma" w:cs="Tahoma"/>
          <w:bCs/>
          <w:spacing w:val="-2"/>
        </w:rPr>
        <w:t xml:space="preserve">., identificada con el </w:t>
      </w:r>
      <w:r w:rsidRPr="001C1D74">
        <w:rPr>
          <w:rFonts w:ascii="Tahoma" w:hAnsi="Tahoma" w:cs="Tahoma"/>
          <w:b/>
          <w:spacing w:val="-2"/>
        </w:rPr>
        <w:t>Nit. No 901645408-8</w:t>
      </w:r>
      <w:r w:rsidRPr="001C1D74">
        <w:rPr>
          <w:rFonts w:ascii="Tahoma" w:hAnsi="Tahoma" w:cs="Tahoma"/>
          <w:bCs/>
          <w:spacing w:val="-2"/>
        </w:rPr>
        <w:t>, presentó ante el despacho de Planeación Municipal la siguiente documentación para la solicitud de viabilidad la cual fue revisada y aprobada:</w:t>
      </w:r>
    </w:p>
    <w:p w14:paraId="1C830060" w14:textId="77777777" w:rsidR="004D58EC" w:rsidRPr="007756EA" w:rsidRDefault="004D58EC" w:rsidP="004D58EC">
      <w:pPr>
        <w:jc w:val="both"/>
        <w:rPr>
          <w:rFonts w:ascii="Tahoma" w:hAnsi="Tahoma" w:cs="Tahoma"/>
          <w:bCs/>
          <w:spacing w:val="-2"/>
        </w:rPr>
      </w:pPr>
    </w:p>
    <w:p w14:paraId="415BD032" w14:textId="60FBE01E" w:rsidR="00FA652E" w:rsidRDefault="007756EA" w:rsidP="007756EA">
      <w:pPr>
        <w:pStyle w:val="Prrafodelista"/>
        <w:numPr>
          <w:ilvl w:val="0"/>
          <w:numId w:val="3"/>
        </w:numPr>
        <w:jc w:val="both"/>
        <w:rPr>
          <w:rFonts w:ascii="Tahoma" w:hAnsi="Tahoma" w:cs="Tahoma"/>
          <w:bCs/>
          <w:spacing w:val="-2"/>
        </w:rPr>
      </w:pPr>
      <w:r w:rsidRPr="007756EA">
        <w:rPr>
          <w:rFonts w:ascii="Tahoma" w:hAnsi="Tahoma" w:cs="Tahoma"/>
          <w:bCs/>
          <w:spacing w:val="-2"/>
        </w:rPr>
        <w:t>Mecánica de suelos</w:t>
      </w:r>
      <w:r>
        <w:rPr>
          <w:rFonts w:ascii="Tahoma" w:hAnsi="Tahoma" w:cs="Tahoma"/>
          <w:bCs/>
          <w:spacing w:val="-2"/>
        </w:rPr>
        <w:t xml:space="preserve">, Tarjeta Profesional y cedula </w:t>
      </w:r>
    </w:p>
    <w:p w14:paraId="1F2FEA33" w14:textId="1F2EAD49" w:rsidR="007756EA" w:rsidRDefault="007756EA" w:rsidP="007756EA">
      <w:pPr>
        <w:pStyle w:val="Prrafodelista"/>
        <w:numPr>
          <w:ilvl w:val="0"/>
          <w:numId w:val="3"/>
        </w:numPr>
        <w:jc w:val="both"/>
        <w:rPr>
          <w:rFonts w:ascii="Tahoma" w:hAnsi="Tahoma" w:cs="Tahoma"/>
          <w:bCs/>
          <w:spacing w:val="-2"/>
        </w:rPr>
      </w:pPr>
      <w:r>
        <w:rPr>
          <w:rFonts w:ascii="Tahoma" w:hAnsi="Tahoma" w:cs="Tahoma"/>
          <w:bCs/>
          <w:spacing w:val="-2"/>
        </w:rPr>
        <w:t>M</w:t>
      </w:r>
      <w:r w:rsidRPr="007756EA">
        <w:rPr>
          <w:rFonts w:ascii="Tahoma" w:hAnsi="Tahoma" w:cs="Tahoma"/>
          <w:bCs/>
          <w:spacing w:val="-2"/>
        </w:rPr>
        <w:t>emoria de diseño</w:t>
      </w:r>
      <w:r>
        <w:rPr>
          <w:rFonts w:ascii="Tahoma" w:hAnsi="Tahoma" w:cs="Tahoma"/>
          <w:bCs/>
          <w:spacing w:val="-2"/>
        </w:rPr>
        <w:t xml:space="preserve"> </w:t>
      </w:r>
      <w:r w:rsidRPr="007756EA">
        <w:rPr>
          <w:rFonts w:ascii="Tahoma" w:hAnsi="Tahoma" w:cs="Tahoma"/>
          <w:bCs/>
          <w:spacing w:val="-2"/>
        </w:rPr>
        <w:t>cimentación</w:t>
      </w:r>
      <w:r>
        <w:rPr>
          <w:rFonts w:ascii="Tahoma" w:hAnsi="Tahoma" w:cs="Tahoma"/>
          <w:bCs/>
          <w:spacing w:val="-2"/>
        </w:rPr>
        <w:t xml:space="preserve">, COPNIA, </w:t>
      </w:r>
      <w:r>
        <w:rPr>
          <w:rFonts w:ascii="Tahoma" w:hAnsi="Tahoma" w:cs="Tahoma"/>
          <w:bCs/>
          <w:spacing w:val="-2"/>
        </w:rPr>
        <w:t>Tarjeta Profesional y cedula</w:t>
      </w:r>
    </w:p>
    <w:p w14:paraId="3A97CED1" w14:textId="7943D5A6" w:rsidR="00F900E3" w:rsidRDefault="00F900E3" w:rsidP="007756EA">
      <w:pPr>
        <w:pStyle w:val="Prrafodelista"/>
        <w:numPr>
          <w:ilvl w:val="0"/>
          <w:numId w:val="3"/>
        </w:numPr>
        <w:jc w:val="both"/>
        <w:rPr>
          <w:rFonts w:ascii="Tahoma" w:hAnsi="Tahoma" w:cs="Tahoma"/>
          <w:bCs/>
          <w:spacing w:val="-2"/>
        </w:rPr>
      </w:pPr>
      <w:r>
        <w:rPr>
          <w:rFonts w:ascii="Tahoma" w:hAnsi="Tahoma" w:cs="Tahoma"/>
          <w:bCs/>
          <w:spacing w:val="-2"/>
        </w:rPr>
        <w:t>Memoria de calculo</w:t>
      </w:r>
    </w:p>
    <w:p w14:paraId="3F916A6E" w14:textId="13A3AF2D" w:rsidR="0051666E" w:rsidRDefault="0051666E" w:rsidP="007756EA">
      <w:pPr>
        <w:pStyle w:val="Prrafodelista"/>
        <w:numPr>
          <w:ilvl w:val="0"/>
          <w:numId w:val="3"/>
        </w:numPr>
        <w:jc w:val="both"/>
        <w:rPr>
          <w:rFonts w:ascii="Tahoma" w:hAnsi="Tahoma" w:cs="Tahoma"/>
          <w:bCs/>
          <w:spacing w:val="-2"/>
        </w:rPr>
      </w:pPr>
      <w:r>
        <w:rPr>
          <w:rFonts w:ascii="Tahoma" w:hAnsi="Tahoma" w:cs="Tahoma"/>
          <w:bCs/>
          <w:spacing w:val="-2"/>
        </w:rPr>
        <w:t xml:space="preserve">Plano Torre </w:t>
      </w:r>
    </w:p>
    <w:p w14:paraId="29AE3955" w14:textId="5604101D" w:rsidR="0051666E" w:rsidRDefault="0051666E" w:rsidP="007756EA">
      <w:pPr>
        <w:pStyle w:val="Prrafodelista"/>
        <w:numPr>
          <w:ilvl w:val="0"/>
          <w:numId w:val="3"/>
        </w:numPr>
        <w:jc w:val="both"/>
        <w:rPr>
          <w:rFonts w:ascii="Tahoma" w:hAnsi="Tahoma" w:cs="Tahoma"/>
          <w:bCs/>
          <w:spacing w:val="-2"/>
        </w:rPr>
      </w:pPr>
      <w:r>
        <w:rPr>
          <w:rFonts w:ascii="Tahoma" w:hAnsi="Tahoma" w:cs="Tahoma"/>
          <w:bCs/>
          <w:spacing w:val="-2"/>
        </w:rPr>
        <w:t xml:space="preserve">Plano Cimentación </w:t>
      </w:r>
    </w:p>
    <w:p w14:paraId="75769DAD" w14:textId="663D4936" w:rsidR="0051666E" w:rsidRDefault="0051666E" w:rsidP="007756EA">
      <w:pPr>
        <w:pStyle w:val="Prrafodelista"/>
        <w:numPr>
          <w:ilvl w:val="0"/>
          <w:numId w:val="3"/>
        </w:numPr>
        <w:jc w:val="both"/>
        <w:rPr>
          <w:rFonts w:ascii="Tahoma" w:hAnsi="Tahoma" w:cs="Tahoma"/>
          <w:bCs/>
          <w:spacing w:val="-2"/>
        </w:rPr>
      </w:pPr>
      <w:r w:rsidRPr="0051666E">
        <w:rPr>
          <w:rFonts w:ascii="Tahoma" w:hAnsi="Tahoma" w:cs="Tahoma"/>
          <w:bCs/>
          <w:spacing w:val="-2"/>
        </w:rPr>
        <w:t>ANT.PUERTO MURILLO CO-02-AN-00985-24 ARR H45</w:t>
      </w:r>
    </w:p>
    <w:p w14:paraId="1C05737C" w14:textId="394D6B77" w:rsidR="00F900E3" w:rsidRDefault="00F900E3" w:rsidP="007756EA">
      <w:pPr>
        <w:pStyle w:val="Prrafodelista"/>
        <w:numPr>
          <w:ilvl w:val="0"/>
          <w:numId w:val="3"/>
        </w:numPr>
        <w:jc w:val="both"/>
        <w:rPr>
          <w:rFonts w:ascii="Tahoma" w:hAnsi="Tahoma" w:cs="Tahoma"/>
          <w:bCs/>
          <w:spacing w:val="-2"/>
        </w:rPr>
      </w:pPr>
      <w:r>
        <w:rPr>
          <w:rFonts w:ascii="Tahoma" w:hAnsi="Tahoma" w:cs="Tahoma"/>
          <w:bCs/>
          <w:spacing w:val="-2"/>
        </w:rPr>
        <w:t>Anteproyecto, cedula, Tarjeta Profesional, Certificado de vigencia</w:t>
      </w:r>
    </w:p>
    <w:p w14:paraId="0CE02D17" w14:textId="5F013B69" w:rsidR="00F900E3" w:rsidRDefault="00F900E3" w:rsidP="007756EA">
      <w:pPr>
        <w:pStyle w:val="Prrafodelista"/>
        <w:numPr>
          <w:ilvl w:val="0"/>
          <w:numId w:val="3"/>
        </w:numPr>
        <w:jc w:val="both"/>
        <w:rPr>
          <w:rFonts w:ascii="Tahoma" w:hAnsi="Tahoma" w:cs="Tahoma"/>
          <w:bCs/>
          <w:spacing w:val="-2"/>
        </w:rPr>
      </w:pPr>
      <w:r>
        <w:rPr>
          <w:rFonts w:ascii="Tahoma" w:hAnsi="Tahoma" w:cs="Tahoma"/>
          <w:bCs/>
          <w:spacing w:val="-2"/>
        </w:rPr>
        <w:t>Cámara de comercio de Sites Latam</w:t>
      </w:r>
    </w:p>
    <w:p w14:paraId="5D7F4CEB" w14:textId="20D7749E" w:rsidR="00F900E3" w:rsidRDefault="00F900E3" w:rsidP="007756EA">
      <w:pPr>
        <w:pStyle w:val="Prrafodelista"/>
        <w:numPr>
          <w:ilvl w:val="0"/>
          <w:numId w:val="3"/>
        </w:numPr>
        <w:jc w:val="both"/>
        <w:rPr>
          <w:rFonts w:ascii="Tahoma" w:hAnsi="Tahoma" w:cs="Tahoma"/>
          <w:bCs/>
          <w:spacing w:val="-2"/>
        </w:rPr>
      </w:pPr>
      <w:r>
        <w:rPr>
          <w:rFonts w:ascii="Tahoma" w:hAnsi="Tahoma" w:cs="Tahoma"/>
          <w:bCs/>
          <w:spacing w:val="-2"/>
        </w:rPr>
        <w:t xml:space="preserve">Concepto de Altura de La Aeronáutica Civil </w:t>
      </w:r>
    </w:p>
    <w:p w14:paraId="44DAA6E2" w14:textId="377919A5" w:rsidR="00F900E3" w:rsidRDefault="00F900E3" w:rsidP="007756EA">
      <w:pPr>
        <w:pStyle w:val="Prrafodelista"/>
        <w:numPr>
          <w:ilvl w:val="0"/>
          <w:numId w:val="3"/>
        </w:numPr>
        <w:jc w:val="both"/>
        <w:rPr>
          <w:rFonts w:ascii="Tahoma" w:hAnsi="Tahoma" w:cs="Tahoma"/>
          <w:bCs/>
          <w:spacing w:val="-2"/>
        </w:rPr>
      </w:pPr>
      <w:r>
        <w:rPr>
          <w:rFonts w:ascii="Tahoma" w:hAnsi="Tahoma" w:cs="Tahoma"/>
          <w:bCs/>
          <w:spacing w:val="-2"/>
        </w:rPr>
        <w:t>RUT Sites Latam</w:t>
      </w:r>
    </w:p>
    <w:p w14:paraId="258950B9" w14:textId="396479C1" w:rsidR="00F900E3" w:rsidRPr="007756EA" w:rsidRDefault="00F900E3" w:rsidP="007756EA">
      <w:pPr>
        <w:pStyle w:val="Prrafodelista"/>
        <w:numPr>
          <w:ilvl w:val="0"/>
          <w:numId w:val="3"/>
        </w:numPr>
        <w:jc w:val="both"/>
        <w:rPr>
          <w:rFonts w:ascii="Tahoma" w:hAnsi="Tahoma" w:cs="Tahoma"/>
          <w:bCs/>
          <w:spacing w:val="-2"/>
        </w:rPr>
      </w:pPr>
      <w:r>
        <w:rPr>
          <w:rFonts w:ascii="Tahoma" w:hAnsi="Tahoma" w:cs="Tahoma"/>
          <w:bCs/>
          <w:spacing w:val="-2"/>
        </w:rPr>
        <w:t>Solicitud de autorización</w:t>
      </w:r>
    </w:p>
    <w:p w14:paraId="3D5E601C" w14:textId="77777777" w:rsidR="00FA652E" w:rsidRPr="001C1D74" w:rsidRDefault="00FA652E" w:rsidP="004D58EC">
      <w:pPr>
        <w:jc w:val="both"/>
        <w:rPr>
          <w:rFonts w:ascii="Tahoma" w:hAnsi="Tahoma" w:cs="Tahoma"/>
          <w:w w:val="85"/>
        </w:rPr>
      </w:pPr>
    </w:p>
    <w:p w14:paraId="5994E0C0" w14:textId="1614C816" w:rsidR="00EB24AC" w:rsidRPr="001C1D74" w:rsidRDefault="00000000" w:rsidP="004D58EC">
      <w:pPr>
        <w:jc w:val="both"/>
        <w:rPr>
          <w:rFonts w:ascii="Tahoma" w:hAnsi="Tahoma" w:cs="Tahoma"/>
          <w:bCs/>
          <w:spacing w:val="-2"/>
        </w:rPr>
      </w:pPr>
      <w:r w:rsidRPr="001C1D74">
        <w:rPr>
          <w:rFonts w:ascii="Tahoma" w:hAnsi="Tahoma" w:cs="Tahoma"/>
          <w:bCs/>
          <w:spacing w:val="-2"/>
        </w:rPr>
        <w:t xml:space="preserve">Que el proyecto para la construcción el </w:t>
      </w:r>
      <w:r w:rsidR="00FA652E" w:rsidRPr="001C1D74">
        <w:rPr>
          <w:rFonts w:ascii="Tahoma" w:hAnsi="Tahoma" w:cs="Tahoma"/>
          <w:b/>
          <w:spacing w:val="-2"/>
        </w:rPr>
        <w:t>ANT PUERTO MURILLO</w:t>
      </w:r>
      <w:r w:rsidR="00FA652E" w:rsidRPr="001C1D74">
        <w:rPr>
          <w:rFonts w:ascii="Tahoma" w:hAnsi="Tahoma" w:cs="Tahoma"/>
          <w:bCs/>
          <w:spacing w:val="-2"/>
        </w:rPr>
        <w:t xml:space="preserve"> </w:t>
      </w:r>
      <w:r w:rsidRPr="001C1D74">
        <w:rPr>
          <w:rFonts w:ascii="Tahoma" w:hAnsi="Tahoma" w:cs="Tahoma"/>
          <w:bCs/>
          <w:spacing w:val="-2"/>
        </w:rPr>
        <w:t>no necesita disponibilidad de servicios públicos de acueducto, alcantarillado y aseo.</w:t>
      </w:r>
    </w:p>
    <w:p w14:paraId="2510EF85" w14:textId="77777777" w:rsidR="004D58EC" w:rsidRPr="001C1D74" w:rsidRDefault="004D58EC" w:rsidP="004D58EC">
      <w:pPr>
        <w:jc w:val="both"/>
        <w:rPr>
          <w:rFonts w:ascii="Tahoma" w:hAnsi="Tahoma" w:cs="Tahoma"/>
          <w:bCs/>
          <w:spacing w:val="-2"/>
        </w:rPr>
      </w:pPr>
    </w:p>
    <w:p w14:paraId="3F7F19BD"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de acuerdo con el Decreto 1077 de 2015: ARTICULO 2.2.6.1.1.11 Régimen especial en materia de licencias urbanísticas. Numeral 2. No se requerirá licencia urbanística de construcción en ninguna de sus modalidades para la ejecución de estructuras especiales tales como puentes, torres de transmisión, torres y equipos industriales, muelles, estructuras hidráulicas y todas aquellas estructuras cuyo comportamiento dinámico difiera del de edificaciones convencionales. Cuando este tipo de estructuras se contemple dentro del trámite de una licencia de construcción, urbanización o parcelación no se computarán dentro de los índices de ocupación y construcción y tampoco estarán sujetas al cumplimiento de la Ley 400 de 1997 y sus decretos reglamentarios, o las normas que los adicionen, modifiquen o sustituyan; y el Reglamento Colombiano de Construcción Sismo Resistente</w:t>
      </w:r>
    </w:p>
    <w:p w14:paraId="0A0B4865"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 xml:space="preserve">- NSR- 10, o la norma que lo adicione, modifique o sustituya. Teniendo claridad que las antenas que producen las señales de RF (Gama de Frecuencias del Espectro Radioeléctrico), son montadas sobre torres de trasmisión. En consecuencia, sólo expedirán una licencia de construcción cuando para la instalación de la antena se requiera la construcción, ampliación, </w:t>
      </w:r>
      <w:r w:rsidRPr="001C1D74">
        <w:rPr>
          <w:rFonts w:ascii="Tahoma" w:hAnsi="Tahoma" w:cs="Tahoma"/>
          <w:bCs/>
          <w:spacing w:val="-2"/>
        </w:rPr>
        <w:lastRenderedPageBreak/>
        <w:t>modificación o demolición de una edificación, o el cerramiento permanente del predio en donde se va a ubicar la misma, de acuerdo con la normatividad anteriormente citada. “Por tanto, no se requerirá licencia de construcción cuando se trate de un cerramiento parcial al interior del predio, con el fin de rodear la antena de telecomunicaciones y de los elementos que la conforman.”</w:t>
      </w:r>
    </w:p>
    <w:p w14:paraId="3CAF9EA1" w14:textId="77777777" w:rsidR="004D58EC" w:rsidRPr="001C1D74" w:rsidRDefault="004D58EC" w:rsidP="004D58EC">
      <w:pPr>
        <w:jc w:val="both"/>
        <w:rPr>
          <w:rFonts w:ascii="Tahoma" w:hAnsi="Tahoma" w:cs="Tahoma"/>
          <w:bCs/>
          <w:spacing w:val="-2"/>
        </w:rPr>
      </w:pPr>
    </w:p>
    <w:p w14:paraId="6DE51145" w14:textId="34BC4264" w:rsidR="00EB24AC" w:rsidRPr="001C1D74" w:rsidRDefault="00000000" w:rsidP="004D58EC">
      <w:pPr>
        <w:jc w:val="both"/>
        <w:rPr>
          <w:rFonts w:ascii="Tahoma" w:hAnsi="Tahoma" w:cs="Tahoma"/>
          <w:bCs/>
          <w:spacing w:val="-2"/>
        </w:rPr>
      </w:pPr>
      <w:r w:rsidRPr="001C1D74">
        <w:rPr>
          <w:rFonts w:ascii="Tahoma" w:hAnsi="Tahoma" w:cs="Tahoma"/>
          <w:bCs/>
          <w:spacing w:val="-2"/>
        </w:rPr>
        <w:t xml:space="preserve">Que, revisada y estudiada la solicitud se encontró ajustada al </w:t>
      </w:r>
      <w:r w:rsidR="00FA652E" w:rsidRPr="001C1D74">
        <w:rPr>
          <w:rFonts w:ascii="Tahoma" w:hAnsi="Tahoma" w:cs="Tahoma"/>
          <w:bCs/>
          <w:spacing w:val="-2"/>
        </w:rPr>
        <w:t>PLAN</w:t>
      </w:r>
      <w:r w:rsidRPr="001C1D74">
        <w:rPr>
          <w:rFonts w:ascii="Tahoma" w:hAnsi="Tahoma" w:cs="Tahoma"/>
          <w:bCs/>
          <w:spacing w:val="-2"/>
        </w:rPr>
        <w:t xml:space="preserve"> DE ORDENAMIENTO TERRITORIAL DEL MUNICIPIO DE </w:t>
      </w:r>
      <w:r w:rsidR="00FA652E" w:rsidRPr="001C1D74">
        <w:rPr>
          <w:rFonts w:ascii="Tahoma" w:hAnsi="Tahoma" w:cs="Tahoma"/>
          <w:bCs/>
          <w:spacing w:val="-2"/>
        </w:rPr>
        <w:t>PUERTO BERRIO - ANTIOQUIA</w:t>
      </w:r>
      <w:r w:rsidRPr="001C1D74">
        <w:rPr>
          <w:rFonts w:ascii="Tahoma" w:hAnsi="Tahoma" w:cs="Tahoma"/>
          <w:bCs/>
          <w:spacing w:val="-2"/>
        </w:rPr>
        <w:t>.</w:t>
      </w:r>
    </w:p>
    <w:p w14:paraId="24B4621C" w14:textId="77777777" w:rsidR="004D58EC" w:rsidRPr="001C1D74" w:rsidRDefault="004D58EC" w:rsidP="004D58EC">
      <w:pPr>
        <w:jc w:val="both"/>
        <w:rPr>
          <w:rFonts w:ascii="Tahoma" w:hAnsi="Tahoma" w:cs="Tahoma"/>
          <w:w w:val="80"/>
        </w:rPr>
      </w:pPr>
    </w:p>
    <w:p w14:paraId="07D48852"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de acuerdo con el PLAN NACIONAL DE DESARROLLO 2022-2026, Artículo 193-195 de la Ley 1753/15. Acceso a las TIC y despliegue de infraestructura. Con el propósito de garantizar el ejercicio y goce efectivo de los derechos constitucionales a la comunicación, la vida en situaciones de emergencia, la educación, la salud, la seguridad personal, y, el acceso a la información, al conocimiento, la ciencia y a la cultura, así como el de contribuir a la masificación del gobierno en línea, de conformidad con la Ley 1341 de 2009, es deber de la Nación asegurar la prestación continúa, oportuna y de calidad de los servicios públicos de comunicaciones para lo cual velará por el despliegue de la infraestructura de redes de telecomunicaciones en las entidades territoriales.</w:t>
      </w:r>
    </w:p>
    <w:p w14:paraId="3BD073E1" w14:textId="77777777" w:rsidR="004D58EC" w:rsidRPr="001C1D74" w:rsidRDefault="004D58EC" w:rsidP="004D58EC">
      <w:pPr>
        <w:jc w:val="both"/>
        <w:rPr>
          <w:rFonts w:ascii="Tahoma" w:hAnsi="Tahoma" w:cs="Tahoma"/>
          <w:bCs/>
          <w:spacing w:val="-2"/>
        </w:rPr>
      </w:pPr>
    </w:p>
    <w:p w14:paraId="65E80DC9" w14:textId="5F043D5E" w:rsidR="00EB24AC" w:rsidRPr="001C1D74" w:rsidRDefault="00000000" w:rsidP="004D58EC">
      <w:pPr>
        <w:jc w:val="both"/>
        <w:rPr>
          <w:rFonts w:ascii="Tahoma" w:hAnsi="Tahoma" w:cs="Tahoma"/>
          <w:bCs/>
          <w:spacing w:val="-2"/>
        </w:rPr>
      </w:pPr>
      <w:r w:rsidRPr="001C1D74">
        <w:rPr>
          <w:rFonts w:ascii="Tahoma" w:hAnsi="Tahoma" w:cs="Tahoma"/>
          <w:bCs/>
          <w:spacing w:val="-2"/>
        </w:rPr>
        <w:t>Que el Decreto Legislativo No. 540 de 2020. "Por el cual se adoptan medidas para ampliar el acceso a las telecomunicaciones en el marco del Estado de Emergencia Económica, Social y Ecológica "Artículo 1. Procedimiento especial para el trámite de solicitudes para el despliegue de infraestructura de telecomunicaciones. Adiciónese el parágrafo al artículo 193 la Ley 1 de 2015, el cual tendrá el siguiente "PARÁGRAFO CUARTO. Únicamente durante la vigencia la Emergencia declarada por el Ministerio Salud y Protección Social, con ocasión de la pandemia derivada del Coronavirus COVID- 19, las solicitudes de licencia para la construcción, conexión, instalación, modificación u operación y equipamiento para la prestación de servicios</w:t>
      </w:r>
      <w:r w:rsidR="004D58EC" w:rsidRPr="001C1D74">
        <w:rPr>
          <w:rFonts w:ascii="Tahoma" w:hAnsi="Tahoma" w:cs="Tahoma"/>
          <w:bCs/>
          <w:spacing w:val="-2"/>
        </w:rPr>
        <w:t xml:space="preserve"> </w:t>
      </w:r>
      <w:r w:rsidRPr="001C1D74">
        <w:rPr>
          <w:rFonts w:ascii="Tahoma" w:hAnsi="Tahoma" w:cs="Tahoma"/>
          <w:bCs/>
          <w:spacing w:val="-2"/>
        </w:rPr>
        <w:t>de telecomunicaciones, fijas y móviles serán resueltas: por la entidad, pública o privada, competente dentro de los diez (10) días siguientes a su presentación.</w:t>
      </w:r>
    </w:p>
    <w:p w14:paraId="3239EEED" w14:textId="77777777" w:rsidR="004D58EC" w:rsidRPr="001C1D74" w:rsidRDefault="004D58EC" w:rsidP="004D58EC">
      <w:pPr>
        <w:jc w:val="both"/>
        <w:rPr>
          <w:rFonts w:ascii="Tahoma" w:hAnsi="Tahoma" w:cs="Tahoma"/>
          <w:bCs/>
          <w:spacing w:val="-2"/>
        </w:rPr>
      </w:pPr>
    </w:p>
    <w:p w14:paraId="66560933" w14:textId="354BD929" w:rsidR="00EB24AC" w:rsidRPr="001C1D74" w:rsidRDefault="00000000" w:rsidP="004D58EC">
      <w:pPr>
        <w:jc w:val="both"/>
        <w:rPr>
          <w:rFonts w:ascii="Tahoma" w:hAnsi="Tahoma" w:cs="Tahoma"/>
          <w:bCs/>
          <w:spacing w:val="-2"/>
        </w:rPr>
      </w:pPr>
      <w:r w:rsidRPr="001C1D74">
        <w:rPr>
          <w:rFonts w:ascii="Tahoma" w:hAnsi="Tahoma" w:cs="Tahoma"/>
          <w:bCs/>
          <w:spacing w:val="-2"/>
        </w:rPr>
        <w:t>Que la Circular 014 del 27 de julio de 2015 de la Procuraduría General de la Nación se debe dar cumplimiento al artículo 193 de la ley 1753 de 2015. Acceso a las TIC y despliegue de infraestructura de telecomunicaciones, que hace parte del Plan Nacional de Desarrollo 2014- 2018. "Todos por un nuevo país".</w:t>
      </w:r>
    </w:p>
    <w:p w14:paraId="0DABCE3C" w14:textId="77777777" w:rsidR="00EB24AC" w:rsidRPr="001C1D74" w:rsidRDefault="00EB24AC" w:rsidP="004D58EC">
      <w:pPr>
        <w:jc w:val="both"/>
        <w:rPr>
          <w:rFonts w:ascii="Tahoma" w:hAnsi="Tahoma" w:cs="Tahoma"/>
          <w:bCs/>
          <w:spacing w:val="-2"/>
        </w:rPr>
      </w:pPr>
    </w:p>
    <w:p w14:paraId="13138C12"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el artículo 311 de la Carta Superior, dispone que el municipio como entidad fundamental de la división político - 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7074A7D7" w14:textId="77777777" w:rsidR="004D58EC" w:rsidRPr="001C1D74" w:rsidRDefault="004D58EC" w:rsidP="004D58EC">
      <w:pPr>
        <w:jc w:val="both"/>
        <w:rPr>
          <w:rFonts w:ascii="Tahoma" w:hAnsi="Tahoma" w:cs="Tahoma"/>
          <w:bCs/>
          <w:spacing w:val="-2"/>
        </w:rPr>
      </w:pPr>
    </w:p>
    <w:p w14:paraId="6FF151D2"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según lo dispuesto en el artículo 365 de la Constitución Política, los servicios públicos son inherentes a la finalidad social del Estado y es deber de este asegurar su prestación eficiente a todos los habitantes del territorio nacional.</w:t>
      </w:r>
    </w:p>
    <w:p w14:paraId="7F216083" w14:textId="77777777" w:rsidR="00FA652E" w:rsidRPr="001C1D74" w:rsidRDefault="00FA652E" w:rsidP="004D58EC">
      <w:pPr>
        <w:jc w:val="both"/>
        <w:rPr>
          <w:rFonts w:ascii="Tahoma" w:hAnsi="Tahoma" w:cs="Tahoma"/>
          <w:bCs/>
          <w:spacing w:val="-2"/>
        </w:rPr>
      </w:pPr>
    </w:p>
    <w:p w14:paraId="17DCE9D7" w14:textId="39D6C3C6" w:rsidR="00EB24AC" w:rsidRPr="001C1D74" w:rsidRDefault="00000000" w:rsidP="004D58EC">
      <w:pPr>
        <w:jc w:val="both"/>
        <w:rPr>
          <w:rFonts w:ascii="Tahoma" w:hAnsi="Tahoma" w:cs="Tahoma"/>
          <w:bCs/>
          <w:spacing w:val="-2"/>
        </w:rPr>
      </w:pPr>
      <w:r w:rsidRPr="001C1D74">
        <w:rPr>
          <w:rFonts w:ascii="Tahoma" w:hAnsi="Tahoma" w:cs="Tahoma"/>
          <w:bCs/>
          <w:spacing w:val="-2"/>
        </w:rPr>
        <w:t>Que la Ley 1341 de 2009 dispuso que la provisión de redes y servicios de comunicaciones es un servicio público de Telecomunicaciones: “Articulo 10. A partir de la vigencia de la presente Ley, la provisión de redes y servicios de telecomunicaciones, que es un servicio público bajo la titularidad del Estado.</w:t>
      </w:r>
    </w:p>
    <w:p w14:paraId="30DB4BEF" w14:textId="77777777" w:rsidR="004D58EC" w:rsidRPr="001C1D74" w:rsidRDefault="004D58EC" w:rsidP="004D58EC">
      <w:pPr>
        <w:jc w:val="both"/>
        <w:rPr>
          <w:rFonts w:ascii="Tahoma" w:hAnsi="Tahoma" w:cs="Tahoma"/>
          <w:bCs/>
          <w:spacing w:val="-2"/>
        </w:rPr>
      </w:pPr>
    </w:p>
    <w:p w14:paraId="11039D06"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 xml:space="preserve">Que al ser telefonía móvil un servicio público de Telecomunicaciones de cubrimiento </w:t>
      </w:r>
      <w:r w:rsidRPr="001C1D74">
        <w:rPr>
          <w:rFonts w:ascii="Tahoma" w:hAnsi="Tahoma" w:cs="Tahoma"/>
          <w:bCs/>
          <w:spacing w:val="-2"/>
        </w:rPr>
        <w:lastRenderedPageBreak/>
        <w:t>nacional, a cargo del Estado, y la constitución política es enfática al consagrar que los servicios públicos son inherentes a la finalidad social del Estado y es deber de éste asegurar su prestación eficiente a todos los habitantes del territorio (art. 365), la localización e instalación de estaciones base es compatible con todos los usos del suelo.</w:t>
      </w:r>
    </w:p>
    <w:p w14:paraId="6D520848" w14:textId="77777777" w:rsidR="004D58EC" w:rsidRPr="001C1D74" w:rsidRDefault="004D58EC" w:rsidP="004D58EC">
      <w:pPr>
        <w:jc w:val="both"/>
        <w:rPr>
          <w:rFonts w:ascii="Tahoma" w:hAnsi="Tahoma" w:cs="Tahoma"/>
          <w:bCs/>
          <w:spacing w:val="-2"/>
        </w:rPr>
      </w:pPr>
    </w:p>
    <w:p w14:paraId="52ABA055"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adicionalmente el artículo 2 de la Ley 1341 de 2009 definió como política de Estado la investigación, el fomento, la promoción y el desarrollo de las Tecnologías de la Información y las Comunicaciones; dicha determinación involucra a todos los sectores y niveles de la administración pública. La misma norma establece que las Tecnologías de la Información y las Comunicaciones sirven para contribuir al desarrollo educativo, cultural, económico, social y político e incrementar la productividad, la competitividad, el respeto a los Derechos Humanos inherentes y la inclusión social.</w:t>
      </w:r>
    </w:p>
    <w:p w14:paraId="1D32BCB7"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de acuerdo con el artículo 4 de la Ley 1341 de 2009, numerales 2 y 8: En desarrollo de los principios de intervención contenidos en la Constitución Política, el Estado intervendrá en el sector las Tecnologías de la Información y las Comunicaciones para lograr los siguientes fines: 2. Promover el acceso a las Tecnologías de la Información y las Comunicaciones. 8. Promover la ampliación de la cobertura del servicio."</w:t>
      </w:r>
    </w:p>
    <w:p w14:paraId="539058B2" w14:textId="77777777" w:rsidR="004D58EC" w:rsidRPr="001C1D74" w:rsidRDefault="004D58EC" w:rsidP="004D58EC">
      <w:pPr>
        <w:jc w:val="both"/>
        <w:rPr>
          <w:rFonts w:ascii="Tahoma" w:hAnsi="Tahoma" w:cs="Tahoma"/>
          <w:bCs/>
          <w:spacing w:val="-2"/>
        </w:rPr>
      </w:pPr>
    </w:p>
    <w:p w14:paraId="486B9D6A" w14:textId="2AD2765E" w:rsidR="00EB24AC" w:rsidRPr="001C1D74" w:rsidRDefault="00000000" w:rsidP="004D58EC">
      <w:pPr>
        <w:jc w:val="both"/>
        <w:rPr>
          <w:rFonts w:ascii="Tahoma" w:hAnsi="Tahoma" w:cs="Tahoma"/>
          <w:bCs/>
          <w:spacing w:val="-2"/>
        </w:rPr>
      </w:pPr>
      <w:r w:rsidRPr="001C1D74">
        <w:rPr>
          <w:rFonts w:ascii="Tahoma" w:hAnsi="Tahoma" w:cs="Tahoma"/>
          <w:bCs/>
          <w:spacing w:val="-2"/>
        </w:rPr>
        <w:t>Que de acuerdo con el artículo 5 de la Ley 1341 de 2009 las entidades de orden nacional y territorial promoverán, coordinarán y ejecutarán planes, programas y proyectos tendientes</w:t>
      </w:r>
      <w:r w:rsidR="004D58EC" w:rsidRPr="001C1D74">
        <w:rPr>
          <w:rFonts w:ascii="Tahoma" w:hAnsi="Tahoma" w:cs="Tahoma"/>
          <w:bCs/>
          <w:spacing w:val="-2"/>
        </w:rPr>
        <w:t xml:space="preserve"> </w:t>
      </w:r>
      <w:r w:rsidRPr="001C1D74">
        <w:rPr>
          <w:rFonts w:ascii="Tahoma" w:hAnsi="Tahoma" w:cs="Tahoma"/>
          <w:bCs/>
          <w:spacing w:val="-2"/>
        </w:rPr>
        <w:t>a garantizar el acceso y uso de la población, las empresas y las entidades públicas a las Tecnologías de la Información y las Comunicaciones. Para tal efecto, dichas autoridades incentivarán el desarrollo d infraestructura, contenidos y aplicaciones, así como la ubicación estratégica de terminales y equipos que permitan realmente a los ciudadanos acceder a las aplicaciones tecnológicas que beneficien a los ciudadanos, en especial a los vulnerables y de zonas marginadas del país.</w:t>
      </w:r>
    </w:p>
    <w:p w14:paraId="78F2ACB5" w14:textId="77777777" w:rsidR="004D58EC" w:rsidRPr="001C1D74" w:rsidRDefault="004D58EC" w:rsidP="004D58EC">
      <w:pPr>
        <w:jc w:val="both"/>
        <w:rPr>
          <w:rFonts w:ascii="Tahoma" w:hAnsi="Tahoma" w:cs="Tahoma"/>
          <w:bCs/>
          <w:spacing w:val="-2"/>
        </w:rPr>
      </w:pPr>
    </w:p>
    <w:p w14:paraId="6382D06F"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el Decreto 2201 del 2000, por el cual se reglamenta el artículo 10 de la Ley 388 de 1997, en el artículo 2 se establece que los planes, planes básicos o esquemas de ordenamiento territorial de los municipios y distritos en ningún caso serán oponibles a la ejecución de proyectos, obras o actividades declarados de utilidad pública e interés social.</w:t>
      </w:r>
    </w:p>
    <w:p w14:paraId="5EA4F19D" w14:textId="77777777" w:rsidR="004D58EC" w:rsidRPr="001C1D74" w:rsidRDefault="004D58EC" w:rsidP="004D58EC">
      <w:pPr>
        <w:jc w:val="both"/>
        <w:rPr>
          <w:rFonts w:ascii="Tahoma" w:hAnsi="Tahoma" w:cs="Tahoma"/>
          <w:bCs/>
          <w:spacing w:val="-2"/>
        </w:rPr>
      </w:pPr>
    </w:p>
    <w:p w14:paraId="2C8325DD"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los Ministerios de la Protección Social, del Ambiente, Vivienda y Desarrollo Territorial, y de Tecnologías de la Información y las Comunicaciones en atención al principio de precaución, expidió el Decreto 195 de 2005, reglamentado por la Resolución 1645 de 2005, adoptando los límites</w:t>
      </w:r>
    </w:p>
    <w:p w14:paraId="3E506C92"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De exposición de las personas a campos electromagnéticos, indicados por la UIT y la ICNIRP, los recomendados por la Organización Mundial de la Salud.</w:t>
      </w:r>
    </w:p>
    <w:p w14:paraId="45D670B9" w14:textId="77777777" w:rsidR="004D58EC" w:rsidRPr="001C1D74" w:rsidRDefault="004D58EC" w:rsidP="004D58EC">
      <w:pPr>
        <w:jc w:val="both"/>
        <w:rPr>
          <w:rFonts w:ascii="Tahoma" w:hAnsi="Tahoma" w:cs="Tahoma"/>
          <w:bCs/>
          <w:spacing w:val="-2"/>
        </w:rPr>
      </w:pPr>
    </w:p>
    <w:p w14:paraId="2E61FC59"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la Resolución 01645 de Julio 29 de 2005 que desarrolla el anterior decreto, expedido por el entonces Ministerio de Comunicaciones (Hoy Ministerio de Tecnologías de la Información y las Comunicaciones), en su artículo 3 declaró fuente inherente conforme los emisores de la telefonía móvil celular – entre otros sistemas – “por cuanto sus campos electromagnéticos emitidos cumplen con los límites de exposición pertinentes y no son necesarias precauciones particulares”, certificando con esto la conformidad de las emisiones radioeléctricas.</w:t>
      </w:r>
    </w:p>
    <w:p w14:paraId="34B1B4C6" w14:textId="77777777" w:rsidR="004D58EC" w:rsidRPr="001C1D74" w:rsidRDefault="004D58EC" w:rsidP="004D58EC">
      <w:pPr>
        <w:jc w:val="both"/>
        <w:rPr>
          <w:rFonts w:ascii="Tahoma" w:hAnsi="Tahoma" w:cs="Tahoma"/>
          <w:bCs/>
          <w:spacing w:val="-2"/>
        </w:rPr>
      </w:pPr>
    </w:p>
    <w:p w14:paraId="001ABDF9"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 xml:space="preserve">Que el entonces Ministerio de Comunicaciones (Hoy Ministerio de Tecnologías de la Información y las Comunicaciones) expidió la Circular 270 de 2007 mediante la cual aclara las normas sobre instalación de estaciones radioeléctricas de telecomunicaciones y determinó que los servicios relacionados en el Artículo 3º de la Resolución 1645 de 2005, antes indicados, no deben presentar declaración de conformidad de emisión radioeléctrica, no tienen restricción alguna para instalar sus estaciones base cerca o dentro de lugares de </w:t>
      </w:r>
      <w:r w:rsidRPr="001C1D74">
        <w:rPr>
          <w:rFonts w:ascii="Tahoma" w:hAnsi="Tahoma" w:cs="Tahoma"/>
          <w:bCs/>
          <w:spacing w:val="-2"/>
        </w:rPr>
        <w:lastRenderedPageBreak/>
        <w:t>acceso público tales como centros educativos, centros geriátricos, centros de servicios médicos y zonas residenciales, y no tienen ninguna obligación de tomar mediciones de radiación por estar instalados cerca o dentro de dichos sitios, conforme la normatividad nacional y las recomendaciones internacionales.</w:t>
      </w:r>
    </w:p>
    <w:p w14:paraId="25778B3E" w14:textId="77777777" w:rsidR="004D58EC" w:rsidRPr="001C1D74" w:rsidRDefault="004D58EC" w:rsidP="004D58EC">
      <w:pPr>
        <w:jc w:val="both"/>
        <w:rPr>
          <w:rFonts w:ascii="Tahoma" w:hAnsi="Tahoma" w:cs="Tahoma"/>
          <w:bCs/>
          <w:spacing w:val="-2"/>
        </w:rPr>
      </w:pPr>
    </w:p>
    <w:p w14:paraId="1CF6B28E"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el Decreto 2820 de 2010, por medio del cual se reglamenta el Título VIII de la Ley 99 de 1993 sobre licencias ambientales, no exige dentro de las actividades sujetas a licencia ambiental, los servicios y redes de tecnologías de la información y las comunicaciones.</w:t>
      </w:r>
    </w:p>
    <w:p w14:paraId="19CE5CEE" w14:textId="77777777" w:rsidR="004D58EC" w:rsidRPr="001C1D74" w:rsidRDefault="004D58EC" w:rsidP="004D58EC">
      <w:pPr>
        <w:jc w:val="both"/>
        <w:rPr>
          <w:rFonts w:ascii="Tahoma" w:hAnsi="Tahoma" w:cs="Tahoma"/>
          <w:bCs/>
          <w:spacing w:val="-2"/>
        </w:rPr>
      </w:pPr>
    </w:p>
    <w:p w14:paraId="5499BAA5" w14:textId="6C20BB3C" w:rsidR="00EB24AC" w:rsidRPr="001C1D74" w:rsidRDefault="00000000" w:rsidP="004D58EC">
      <w:pPr>
        <w:jc w:val="both"/>
        <w:rPr>
          <w:rFonts w:ascii="Tahoma" w:hAnsi="Tahoma" w:cs="Tahoma"/>
          <w:bCs/>
          <w:spacing w:val="-2"/>
        </w:rPr>
      </w:pPr>
      <w:r w:rsidRPr="001C1D74">
        <w:rPr>
          <w:rFonts w:ascii="Tahoma" w:hAnsi="Tahoma" w:cs="Tahoma"/>
          <w:bCs/>
          <w:spacing w:val="-2"/>
        </w:rPr>
        <w:t>Que en atención a la normativa antes descrita y en concordancia con las políticas señaladas desde el nivel central de la administración nacional, el Municipio reconoce la importancia del despliegue de las Tecnologías de la Información y las Comunicaciones en todo su territorio como un motor de desarrollo social y económico. De la misma forma, el Municipio entiende</w:t>
      </w:r>
      <w:r w:rsidR="004D58EC" w:rsidRPr="001C1D74">
        <w:rPr>
          <w:rFonts w:ascii="Tahoma" w:hAnsi="Tahoma" w:cs="Tahoma"/>
          <w:bCs/>
          <w:spacing w:val="-2"/>
        </w:rPr>
        <w:t xml:space="preserve"> </w:t>
      </w:r>
      <w:r w:rsidRPr="001C1D74">
        <w:rPr>
          <w:rFonts w:ascii="Tahoma" w:hAnsi="Tahoma" w:cs="Tahoma"/>
          <w:bCs/>
          <w:spacing w:val="-2"/>
        </w:rPr>
        <w:t>que para que la población pueda disfrutar esos beneficios es necesario ofrecer condiciones óptimas para el despliegue de las redes que permitan la prestación de servicios TIC en un marco de libre competencia y concurrencia de acuerdo con la Constitución y la ley.</w:t>
      </w:r>
    </w:p>
    <w:p w14:paraId="47BCCA90" w14:textId="77777777" w:rsidR="004D58EC" w:rsidRPr="001C1D74" w:rsidRDefault="004D58EC" w:rsidP="004D58EC">
      <w:pPr>
        <w:jc w:val="both"/>
        <w:rPr>
          <w:rFonts w:ascii="Tahoma" w:hAnsi="Tahoma" w:cs="Tahoma"/>
          <w:bCs/>
          <w:spacing w:val="-2"/>
        </w:rPr>
      </w:pPr>
    </w:p>
    <w:p w14:paraId="7AF2349B" w14:textId="77777777" w:rsidR="004D58EC" w:rsidRPr="001C1D74" w:rsidRDefault="004D58EC" w:rsidP="004D58EC">
      <w:pPr>
        <w:jc w:val="both"/>
        <w:rPr>
          <w:rFonts w:ascii="Tahoma" w:hAnsi="Tahoma" w:cs="Tahoma"/>
          <w:bCs/>
          <w:spacing w:val="-2"/>
        </w:rPr>
      </w:pPr>
    </w:p>
    <w:p w14:paraId="289A2A81" w14:textId="77777777" w:rsidR="00EB24AC" w:rsidRPr="001C1D74" w:rsidRDefault="00000000" w:rsidP="004D58EC">
      <w:pPr>
        <w:jc w:val="both"/>
        <w:rPr>
          <w:rFonts w:ascii="Tahoma" w:hAnsi="Tahoma" w:cs="Tahoma"/>
          <w:bCs/>
          <w:spacing w:val="-2"/>
        </w:rPr>
      </w:pPr>
      <w:r w:rsidRPr="001C1D74">
        <w:rPr>
          <w:rFonts w:ascii="Tahoma" w:hAnsi="Tahoma" w:cs="Tahoma"/>
          <w:bCs/>
          <w:spacing w:val="-2"/>
        </w:rPr>
        <w:t>Que, por los anteriores considerandos.</w:t>
      </w:r>
    </w:p>
    <w:p w14:paraId="404CEE04" w14:textId="77777777" w:rsidR="00EB24AC" w:rsidRPr="001C1D74" w:rsidRDefault="00EB24AC" w:rsidP="004D58EC">
      <w:pPr>
        <w:jc w:val="both"/>
        <w:rPr>
          <w:rFonts w:ascii="Tahoma" w:hAnsi="Tahoma" w:cs="Tahoma"/>
          <w:w w:val="80"/>
        </w:rPr>
      </w:pPr>
    </w:p>
    <w:p w14:paraId="49F59F3A" w14:textId="243C67EE" w:rsidR="00EB24AC" w:rsidRPr="001C1D74" w:rsidRDefault="00000000" w:rsidP="001C1D74">
      <w:pPr>
        <w:jc w:val="center"/>
        <w:rPr>
          <w:rFonts w:ascii="Tahoma" w:hAnsi="Tahoma" w:cs="Tahoma"/>
          <w:b/>
          <w:spacing w:val="-2"/>
        </w:rPr>
      </w:pPr>
      <w:r w:rsidRPr="001C1D74">
        <w:rPr>
          <w:rFonts w:ascii="Tahoma" w:hAnsi="Tahoma" w:cs="Tahoma"/>
          <w:b/>
          <w:spacing w:val="-2"/>
        </w:rPr>
        <w:t>RESUELVE:</w:t>
      </w:r>
    </w:p>
    <w:p w14:paraId="6EEA4644" w14:textId="77777777" w:rsidR="00EB24AC" w:rsidRPr="001C1D74" w:rsidRDefault="00EB24AC" w:rsidP="004D58EC">
      <w:pPr>
        <w:jc w:val="both"/>
        <w:rPr>
          <w:rFonts w:ascii="Tahoma" w:hAnsi="Tahoma" w:cs="Tahoma"/>
          <w:bCs/>
          <w:spacing w:val="-2"/>
        </w:rPr>
      </w:pPr>
    </w:p>
    <w:p w14:paraId="2C968282" w14:textId="4C73CA35" w:rsidR="00EB24AC" w:rsidRPr="001C1D74" w:rsidRDefault="00000000" w:rsidP="004D58EC">
      <w:pPr>
        <w:jc w:val="both"/>
        <w:rPr>
          <w:rFonts w:ascii="Tahoma" w:hAnsi="Tahoma" w:cs="Tahoma"/>
          <w:bCs/>
          <w:spacing w:val="-2"/>
        </w:rPr>
      </w:pPr>
      <w:r w:rsidRPr="001C1D74">
        <w:rPr>
          <w:rFonts w:ascii="Tahoma" w:hAnsi="Tahoma" w:cs="Tahoma"/>
          <w:bCs/>
          <w:spacing w:val="-2"/>
        </w:rPr>
        <w:t xml:space="preserve">ARTÍCULO PRIMERO: Conceder </w:t>
      </w:r>
      <w:r w:rsidRPr="001C1D74">
        <w:rPr>
          <w:rFonts w:ascii="Tahoma" w:hAnsi="Tahoma" w:cs="Tahoma"/>
          <w:b/>
          <w:spacing w:val="-2"/>
        </w:rPr>
        <w:t xml:space="preserve">AUTORIZACION para la instalación de infraestructura, para el proyecto de </w:t>
      </w:r>
      <w:r w:rsidR="00FA652E" w:rsidRPr="001C1D74">
        <w:rPr>
          <w:rFonts w:ascii="Tahoma" w:hAnsi="Tahoma" w:cs="Tahoma"/>
          <w:b/>
          <w:spacing w:val="-2"/>
        </w:rPr>
        <w:t>ANT. PUERTO MURILLO</w:t>
      </w:r>
      <w:r w:rsidR="00FA652E" w:rsidRPr="001C1D74">
        <w:rPr>
          <w:rFonts w:ascii="Tahoma" w:hAnsi="Tahoma" w:cs="Tahoma"/>
          <w:bCs/>
          <w:spacing w:val="-2"/>
        </w:rPr>
        <w:t xml:space="preserve"> </w:t>
      </w:r>
      <w:r w:rsidRPr="001C1D74">
        <w:rPr>
          <w:rFonts w:ascii="Tahoma" w:hAnsi="Tahoma" w:cs="Tahoma"/>
          <w:bCs/>
          <w:spacing w:val="-2"/>
        </w:rPr>
        <w:t>que comprenden la instalación de una TORRE ARRIOSTRADA y equipos celulares necesarios para la transmisión de comunicación celular, equipo de respaldo para los casos de pérdidas o fallas en el fluido eléctrico, acometidas para la instalación de cables de fibra óptica y demás elementos para la instalación y funcionamiento de la Estación base, cerramiento de seguridad para la estación base, de acuerdo a los documentos revisados y aprobados por esta Secretaria y que será ubicada en el predio rural en las coordenadas (</w:t>
      </w:r>
      <w:r w:rsidR="00FA652E" w:rsidRPr="001C1D74">
        <w:rPr>
          <w:rFonts w:ascii="Tahoma" w:hAnsi="Tahoma" w:cs="Tahoma"/>
          <w:bCs/>
          <w:spacing w:val="-2"/>
        </w:rPr>
        <w:t>Latitud 6°36’23”N, Longitud - -74°23’38”W</w:t>
      </w:r>
      <w:r w:rsidRPr="001C1D74">
        <w:rPr>
          <w:rFonts w:ascii="Tahoma" w:hAnsi="Tahoma" w:cs="Tahoma"/>
          <w:bCs/>
          <w:spacing w:val="-2"/>
        </w:rPr>
        <w:t xml:space="preserve">), ubicada en el Corregimiento de </w:t>
      </w:r>
      <w:r w:rsidR="00FA652E" w:rsidRPr="001C1D74">
        <w:rPr>
          <w:rFonts w:ascii="Tahoma" w:hAnsi="Tahoma" w:cs="Tahoma"/>
          <w:bCs/>
          <w:spacing w:val="-2"/>
        </w:rPr>
        <w:t>Puerto Murillo</w:t>
      </w:r>
      <w:r w:rsidRPr="001C1D74">
        <w:rPr>
          <w:rFonts w:ascii="Tahoma" w:hAnsi="Tahoma" w:cs="Tahoma"/>
          <w:bCs/>
          <w:spacing w:val="-2"/>
        </w:rPr>
        <w:t xml:space="preserve">, Municipio de </w:t>
      </w:r>
      <w:r w:rsidR="00FA652E" w:rsidRPr="001C1D74">
        <w:rPr>
          <w:rFonts w:ascii="Tahoma" w:hAnsi="Tahoma" w:cs="Tahoma"/>
          <w:bCs/>
          <w:spacing w:val="-2"/>
        </w:rPr>
        <w:t>Puerto Berrío</w:t>
      </w:r>
      <w:r w:rsidR="000A32E4" w:rsidRPr="001C1D74">
        <w:rPr>
          <w:rFonts w:ascii="Tahoma" w:hAnsi="Tahoma" w:cs="Tahoma"/>
          <w:bCs/>
          <w:spacing w:val="-2"/>
        </w:rPr>
        <w:t xml:space="preserve"> – </w:t>
      </w:r>
      <w:r w:rsidR="00FA652E" w:rsidRPr="001C1D74">
        <w:rPr>
          <w:rFonts w:ascii="Tahoma" w:hAnsi="Tahoma" w:cs="Tahoma"/>
          <w:bCs/>
          <w:spacing w:val="-2"/>
        </w:rPr>
        <w:t>Antioquia</w:t>
      </w:r>
      <w:r w:rsidR="000A32E4" w:rsidRPr="001C1D74">
        <w:rPr>
          <w:rFonts w:ascii="Tahoma" w:hAnsi="Tahoma" w:cs="Tahoma"/>
          <w:bCs/>
          <w:spacing w:val="-2"/>
        </w:rPr>
        <w:t>.</w:t>
      </w:r>
    </w:p>
    <w:p w14:paraId="25198CF8" w14:textId="77777777" w:rsidR="00EB24AC" w:rsidRPr="001C1D74" w:rsidRDefault="00EB24AC" w:rsidP="004D58EC">
      <w:pPr>
        <w:jc w:val="both"/>
        <w:rPr>
          <w:rFonts w:ascii="Tahoma" w:hAnsi="Tahoma" w:cs="Tahoma"/>
          <w:bCs/>
          <w:spacing w:val="-2"/>
        </w:rPr>
      </w:pPr>
    </w:p>
    <w:p w14:paraId="621C8941" w14:textId="3C6BD2FA" w:rsidR="00EB24AC" w:rsidRPr="001C1D74" w:rsidRDefault="00000000" w:rsidP="004D58EC">
      <w:pPr>
        <w:jc w:val="both"/>
        <w:rPr>
          <w:rFonts w:ascii="Tahoma" w:hAnsi="Tahoma" w:cs="Tahoma"/>
          <w:bCs/>
          <w:spacing w:val="-2"/>
        </w:rPr>
      </w:pPr>
      <w:r w:rsidRPr="001C1D74">
        <w:rPr>
          <w:rFonts w:ascii="Tahoma" w:hAnsi="Tahoma" w:cs="Tahoma"/>
          <w:bCs/>
          <w:spacing w:val="-2"/>
        </w:rPr>
        <w:t xml:space="preserve">La presente certificación Se expide a solicitud del interesado a los </w:t>
      </w:r>
      <w:r w:rsidR="00FA652E" w:rsidRPr="001C1D74">
        <w:rPr>
          <w:rFonts w:ascii="Tahoma" w:hAnsi="Tahoma" w:cs="Tahoma"/>
          <w:bCs/>
          <w:spacing w:val="-2"/>
        </w:rPr>
        <w:t>nueve (09)</w:t>
      </w:r>
      <w:r w:rsidRPr="001C1D74">
        <w:rPr>
          <w:rFonts w:ascii="Tahoma" w:hAnsi="Tahoma" w:cs="Tahoma"/>
          <w:bCs/>
          <w:spacing w:val="-2"/>
        </w:rPr>
        <w:t xml:space="preserve"> días del mes de </w:t>
      </w:r>
      <w:r w:rsidR="00FA652E" w:rsidRPr="001C1D74">
        <w:rPr>
          <w:rFonts w:ascii="Tahoma" w:hAnsi="Tahoma" w:cs="Tahoma"/>
          <w:bCs/>
          <w:spacing w:val="-2"/>
        </w:rPr>
        <w:t>diciembre</w:t>
      </w:r>
      <w:r w:rsidRPr="001C1D74">
        <w:rPr>
          <w:rFonts w:ascii="Tahoma" w:hAnsi="Tahoma" w:cs="Tahoma"/>
          <w:bCs/>
          <w:spacing w:val="-2"/>
        </w:rPr>
        <w:t xml:space="preserve"> de 2025.</w:t>
      </w:r>
    </w:p>
    <w:p w14:paraId="7BCA643E" w14:textId="77777777" w:rsidR="00EB24AC" w:rsidRPr="001C1D74" w:rsidRDefault="00EB24AC" w:rsidP="004D58EC">
      <w:pPr>
        <w:jc w:val="both"/>
        <w:rPr>
          <w:rFonts w:ascii="Tahoma" w:hAnsi="Tahoma" w:cs="Tahoma"/>
          <w:bCs/>
          <w:spacing w:val="-2"/>
        </w:rPr>
      </w:pPr>
    </w:p>
    <w:p w14:paraId="5D047843" w14:textId="77777777" w:rsidR="000A32E4" w:rsidRPr="001C1D74" w:rsidRDefault="000A32E4" w:rsidP="004D58EC">
      <w:pPr>
        <w:jc w:val="both"/>
        <w:rPr>
          <w:rFonts w:ascii="Tahoma" w:hAnsi="Tahoma" w:cs="Tahoma"/>
          <w:bCs/>
          <w:spacing w:val="-2"/>
        </w:rPr>
      </w:pPr>
    </w:p>
    <w:p w14:paraId="355C8220" w14:textId="77777777" w:rsidR="000A32E4" w:rsidRPr="001C1D74" w:rsidRDefault="000A32E4" w:rsidP="004D58EC">
      <w:pPr>
        <w:jc w:val="both"/>
        <w:rPr>
          <w:rFonts w:ascii="Tahoma" w:hAnsi="Tahoma" w:cs="Tahoma"/>
          <w:bCs/>
          <w:spacing w:val="-2"/>
        </w:rPr>
      </w:pPr>
    </w:p>
    <w:p w14:paraId="791FCCBA" w14:textId="77777777" w:rsidR="00EB24AC" w:rsidRPr="001C1D74" w:rsidRDefault="00EB24AC" w:rsidP="004D58EC">
      <w:pPr>
        <w:jc w:val="both"/>
        <w:rPr>
          <w:rFonts w:ascii="Tahoma" w:hAnsi="Tahoma" w:cs="Tahoma"/>
          <w:bCs/>
          <w:spacing w:val="-2"/>
        </w:rPr>
      </w:pPr>
    </w:p>
    <w:p w14:paraId="53FDFEB2" w14:textId="1C8DE62A" w:rsidR="00EB24AC" w:rsidRPr="001C1D74" w:rsidRDefault="00FA652E" w:rsidP="000A32E4">
      <w:pPr>
        <w:jc w:val="center"/>
        <w:rPr>
          <w:rFonts w:ascii="Tahoma" w:hAnsi="Tahoma" w:cs="Tahoma"/>
          <w:b/>
          <w:spacing w:val="-2"/>
        </w:rPr>
      </w:pPr>
      <w:r w:rsidRPr="001C1D74">
        <w:rPr>
          <w:rFonts w:ascii="Tahoma" w:hAnsi="Tahoma" w:cs="Tahoma"/>
          <w:b/>
          <w:spacing w:val="-2"/>
        </w:rPr>
        <w:t>DIANA ARIAS BURITICA</w:t>
      </w:r>
    </w:p>
    <w:p w14:paraId="5220C7B5" w14:textId="2566734C" w:rsidR="00EB24AC" w:rsidRPr="001C1D74" w:rsidRDefault="00FA652E" w:rsidP="000A32E4">
      <w:pPr>
        <w:jc w:val="center"/>
        <w:rPr>
          <w:rFonts w:ascii="Tahoma" w:hAnsi="Tahoma" w:cs="Tahoma"/>
          <w:bCs/>
          <w:spacing w:val="-2"/>
        </w:rPr>
      </w:pPr>
      <w:r w:rsidRPr="001C1D74">
        <w:rPr>
          <w:rFonts w:ascii="Tahoma" w:hAnsi="Tahoma" w:cs="Tahoma"/>
          <w:bCs/>
          <w:spacing w:val="-2"/>
        </w:rPr>
        <w:t xml:space="preserve">Secretaria de Planeación e Infraestructura </w:t>
      </w:r>
    </w:p>
    <w:p w14:paraId="0526ED1A" w14:textId="77AEAE71" w:rsidR="00FA652E" w:rsidRPr="001C1D74" w:rsidRDefault="00FA652E" w:rsidP="000A32E4">
      <w:pPr>
        <w:jc w:val="center"/>
        <w:rPr>
          <w:rFonts w:ascii="Tahoma" w:hAnsi="Tahoma" w:cs="Tahoma"/>
          <w:bCs/>
          <w:spacing w:val="-2"/>
        </w:rPr>
      </w:pPr>
      <w:r w:rsidRPr="001C1D74">
        <w:rPr>
          <w:rFonts w:ascii="Tahoma" w:hAnsi="Tahoma" w:cs="Tahoma"/>
          <w:bCs/>
          <w:spacing w:val="-2"/>
        </w:rPr>
        <w:t xml:space="preserve">Municipio de Puerto Berrio – Antioquia </w:t>
      </w:r>
    </w:p>
    <w:sectPr w:rsidR="00FA652E" w:rsidRPr="001C1D74">
      <w:headerReference w:type="default" r:id="rId7"/>
      <w:footerReference w:type="default" r:id="rId8"/>
      <w:pgSz w:w="11910" w:h="17580"/>
      <w:pgMar w:top="1900" w:right="1559" w:bottom="1400" w:left="1700" w:header="346" w:footer="12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3B06A" w14:textId="77777777" w:rsidR="001D508F" w:rsidRDefault="001D508F">
      <w:r>
        <w:separator/>
      </w:r>
    </w:p>
  </w:endnote>
  <w:endnote w:type="continuationSeparator" w:id="0">
    <w:p w14:paraId="60E561EA" w14:textId="77777777" w:rsidR="001D508F" w:rsidRDefault="001D5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CF8D1" w14:textId="26389D9F" w:rsidR="00EB24AC" w:rsidRDefault="00EB24AC">
    <w:pPr>
      <w:pStyle w:val="Textoindependiente"/>
      <w:spacing w:line="14" w:lineRule="auto"/>
      <w:ind w:left="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18FA1" w14:textId="77777777" w:rsidR="001D508F" w:rsidRDefault="001D508F">
      <w:r>
        <w:separator/>
      </w:r>
    </w:p>
  </w:footnote>
  <w:footnote w:type="continuationSeparator" w:id="0">
    <w:p w14:paraId="0636DE6B" w14:textId="77777777" w:rsidR="001D508F" w:rsidRDefault="001D5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A2A8" w14:textId="0E94FE75" w:rsidR="00EB24AC" w:rsidRDefault="00EB24AC">
    <w:pPr>
      <w:pStyle w:val="Textoindependiente"/>
      <w:spacing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7A4D"/>
    <w:multiLevelType w:val="hybridMultilevel"/>
    <w:tmpl w:val="3FECA4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926D6B"/>
    <w:multiLevelType w:val="hybridMultilevel"/>
    <w:tmpl w:val="582E3500"/>
    <w:lvl w:ilvl="0" w:tplc="D1F685D4">
      <w:start w:val="1"/>
      <w:numFmt w:val="decimal"/>
      <w:lvlText w:val="%1."/>
      <w:lvlJc w:val="left"/>
      <w:pPr>
        <w:ind w:left="570" w:hanging="568"/>
      </w:pPr>
      <w:rPr>
        <w:rFonts w:ascii="Arial MT" w:eastAsia="Arial MT" w:hAnsi="Arial MT" w:cs="Arial MT" w:hint="default"/>
        <w:b w:val="0"/>
        <w:bCs w:val="0"/>
        <w:i w:val="0"/>
        <w:iCs w:val="0"/>
        <w:spacing w:val="-2"/>
        <w:w w:val="79"/>
        <w:sz w:val="24"/>
        <w:szCs w:val="24"/>
        <w:lang w:val="es-ES" w:eastAsia="en-US" w:bidi="ar-SA"/>
      </w:rPr>
    </w:lvl>
    <w:lvl w:ilvl="1" w:tplc="7556D948">
      <w:numFmt w:val="bullet"/>
      <w:lvlText w:val="•"/>
      <w:lvlJc w:val="left"/>
      <w:pPr>
        <w:ind w:left="1386" w:hanging="568"/>
      </w:pPr>
      <w:rPr>
        <w:rFonts w:hint="default"/>
        <w:lang w:val="es-ES" w:eastAsia="en-US" w:bidi="ar-SA"/>
      </w:rPr>
    </w:lvl>
    <w:lvl w:ilvl="2" w:tplc="62DA9C9E">
      <w:numFmt w:val="bullet"/>
      <w:lvlText w:val="•"/>
      <w:lvlJc w:val="left"/>
      <w:pPr>
        <w:ind w:left="2193" w:hanging="568"/>
      </w:pPr>
      <w:rPr>
        <w:rFonts w:hint="default"/>
        <w:lang w:val="es-ES" w:eastAsia="en-US" w:bidi="ar-SA"/>
      </w:rPr>
    </w:lvl>
    <w:lvl w:ilvl="3" w:tplc="C33C70DA">
      <w:numFmt w:val="bullet"/>
      <w:lvlText w:val="•"/>
      <w:lvlJc w:val="left"/>
      <w:pPr>
        <w:ind w:left="3000" w:hanging="568"/>
      </w:pPr>
      <w:rPr>
        <w:rFonts w:hint="default"/>
        <w:lang w:val="es-ES" w:eastAsia="en-US" w:bidi="ar-SA"/>
      </w:rPr>
    </w:lvl>
    <w:lvl w:ilvl="4" w:tplc="C36A4F3C">
      <w:numFmt w:val="bullet"/>
      <w:lvlText w:val="•"/>
      <w:lvlJc w:val="left"/>
      <w:pPr>
        <w:ind w:left="3807" w:hanging="568"/>
      </w:pPr>
      <w:rPr>
        <w:rFonts w:hint="default"/>
        <w:lang w:val="es-ES" w:eastAsia="en-US" w:bidi="ar-SA"/>
      </w:rPr>
    </w:lvl>
    <w:lvl w:ilvl="5" w:tplc="265287B0">
      <w:numFmt w:val="bullet"/>
      <w:lvlText w:val="•"/>
      <w:lvlJc w:val="left"/>
      <w:pPr>
        <w:ind w:left="4614" w:hanging="568"/>
      </w:pPr>
      <w:rPr>
        <w:rFonts w:hint="default"/>
        <w:lang w:val="es-ES" w:eastAsia="en-US" w:bidi="ar-SA"/>
      </w:rPr>
    </w:lvl>
    <w:lvl w:ilvl="6" w:tplc="F22C2184">
      <w:numFmt w:val="bullet"/>
      <w:lvlText w:val="•"/>
      <w:lvlJc w:val="left"/>
      <w:pPr>
        <w:ind w:left="5421" w:hanging="568"/>
      </w:pPr>
      <w:rPr>
        <w:rFonts w:hint="default"/>
        <w:lang w:val="es-ES" w:eastAsia="en-US" w:bidi="ar-SA"/>
      </w:rPr>
    </w:lvl>
    <w:lvl w:ilvl="7" w:tplc="4076714C">
      <w:numFmt w:val="bullet"/>
      <w:lvlText w:val="•"/>
      <w:lvlJc w:val="left"/>
      <w:pPr>
        <w:ind w:left="6228" w:hanging="568"/>
      </w:pPr>
      <w:rPr>
        <w:rFonts w:hint="default"/>
        <w:lang w:val="es-ES" w:eastAsia="en-US" w:bidi="ar-SA"/>
      </w:rPr>
    </w:lvl>
    <w:lvl w:ilvl="8" w:tplc="EC02AE6C">
      <w:numFmt w:val="bullet"/>
      <w:lvlText w:val="•"/>
      <w:lvlJc w:val="left"/>
      <w:pPr>
        <w:ind w:left="7035" w:hanging="568"/>
      </w:pPr>
      <w:rPr>
        <w:rFonts w:hint="default"/>
        <w:lang w:val="es-ES" w:eastAsia="en-US" w:bidi="ar-SA"/>
      </w:rPr>
    </w:lvl>
  </w:abstractNum>
  <w:abstractNum w:abstractNumId="2" w15:restartNumberingAfterBreak="0">
    <w:nsid w:val="32186DCA"/>
    <w:multiLevelType w:val="hybridMultilevel"/>
    <w:tmpl w:val="4EC06DC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40722392">
    <w:abstractNumId w:val="1"/>
  </w:num>
  <w:num w:numId="2" w16cid:durableId="776874808">
    <w:abstractNumId w:val="2"/>
  </w:num>
  <w:num w:numId="3" w16cid:durableId="628436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4AC"/>
    <w:rsid w:val="000A32E4"/>
    <w:rsid w:val="00170A49"/>
    <w:rsid w:val="001C1D74"/>
    <w:rsid w:val="001D508F"/>
    <w:rsid w:val="00264ABC"/>
    <w:rsid w:val="0033756D"/>
    <w:rsid w:val="004D58EC"/>
    <w:rsid w:val="0051666E"/>
    <w:rsid w:val="00532D3B"/>
    <w:rsid w:val="00755C51"/>
    <w:rsid w:val="007756EA"/>
    <w:rsid w:val="00B25389"/>
    <w:rsid w:val="00BD37B4"/>
    <w:rsid w:val="00D237CD"/>
    <w:rsid w:val="00D31E95"/>
    <w:rsid w:val="00E16B20"/>
    <w:rsid w:val="00EB24AC"/>
    <w:rsid w:val="00F149D0"/>
    <w:rsid w:val="00F900E3"/>
    <w:rsid w:val="00FA652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03EA0"/>
  <w15:docId w15:val="{65028AC2-46F7-4F6A-B5B1-36063DA55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right="179"/>
      <w:jc w:val="center"/>
      <w:outlineLvl w:val="0"/>
    </w:pPr>
    <w:rPr>
      <w:rFonts w:ascii="Arial" w:eastAsia="Arial" w:hAnsi="Arial" w:cs="Arial"/>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2"/>
      <w:jc w:val="both"/>
    </w:pPr>
    <w:rPr>
      <w:sz w:val="24"/>
      <w:szCs w:val="24"/>
    </w:rPr>
  </w:style>
  <w:style w:type="paragraph" w:styleId="Prrafodelista">
    <w:name w:val="List Paragraph"/>
    <w:basedOn w:val="Normal"/>
    <w:uiPriority w:val="1"/>
    <w:qFormat/>
    <w:pPr>
      <w:ind w:left="570" w:hanging="568"/>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31E95"/>
    <w:pPr>
      <w:tabs>
        <w:tab w:val="center" w:pos="4419"/>
        <w:tab w:val="right" w:pos="8838"/>
      </w:tabs>
    </w:pPr>
  </w:style>
  <w:style w:type="character" w:customStyle="1" w:styleId="EncabezadoCar">
    <w:name w:val="Encabezado Car"/>
    <w:basedOn w:val="Fuentedeprrafopredeter"/>
    <w:link w:val="Encabezado"/>
    <w:uiPriority w:val="99"/>
    <w:rsid w:val="00D31E95"/>
    <w:rPr>
      <w:rFonts w:ascii="Arial MT" w:eastAsia="Arial MT" w:hAnsi="Arial MT" w:cs="Arial MT"/>
      <w:lang w:val="es-ES"/>
    </w:rPr>
  </w:style>
  <w:style w:type="paragraph" w:styleId="Piedepgina">
    <w:name w:val="footer"/>
    <w:basedOn w:val="Normal"/>
    <w:link w:val="PiedepginaCar"/>
    <w:uiPriority w:val="99"/>
    <w:unhideWhenUsed/>
    <w:rsid w:val="00D31E95"/>
    <w:pPr>
      <w:tabs>
        <w:tab w:val="center" w:pos="4419"/>
        <w:tab w:val="right" w:pos="8838"/>
      </w:tabs>
    </w:pPr>
  </w:style>
  <w:style w:type="character" w:customStyle="1" w:styleId="PiedepginaCar">
    <w:name w:val="Pie de página Car"/>
    <w:basedOn w:val="Fuentedeprrafopredeter"/>
    <w:link w:val="Piedepgina"/>
    <w:uiPriority w:val="99"/>
    <w:rsid w:val="00D31E95"/>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1960</Words>
  <Characters>10781</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EQUIPO1</dc:creator>
  <cp:lastModifiedBy>Divanna Mazo Cardona</cp:lastModifiedBy>
  <cp:revision>4</cp:revision>
  <dcterms:created xsi:type="dcterms:W3CDTF">2025-12-07T14:06:00Z</dcterms:created>
  <dcterms:modified xsi:type="dcterms:W3CDTF">2025-12-09T13:30:00Z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2025-08-29T00:00:00Z</vt:filetime>
  </property>
  <property fmtid="{D5CDD505-2E9C-101B-9397-08002B2CF9AE}" pid="3" name="Creator">
    <vt:lpwstr>Microsoft® Word LTSC</vt:lpwstr>
  </property>
  <property fmtid="{D5CDD505-2E9C-101B-9397-08002B2CF9AE}" pid="4" name="LastSaved">
    <vt:filetime>2025-11-21T00:00:00Z</vt:filetime>
  </property>
  <property fmtid="{D5CDD505-2E9C-101B-9397-08002B2CF9AE}" pid="5" name="Producer">
    <vt:lpwstr>Microsoft® Word LTSC</vt:lpwstr>
  </property>
</Properties>
</file>